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8A7" w:rsidRDefault="002C18A7">
      <w:bookmarkStart w:id="0" w:name="_GoBack"/>
      <w:bookmarkEnd w:id="0"/>
      <w:r>
        <w:rPr>
          <w:noProof/>
          <w:sz w:val="18"/>
          <w:szCs w:val="18"/>
        </w:rPr>
        <w:drawing>
          <wp:inline distT="0" distB="0" distL="0" distR="0" wp14:anchorId="1E251CDA" wp14:editId="10D09337">
            <wp:extent cx="1348689" cy="295275"/>
            <wp:effectExtent l="0" t="0" r="444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689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1BD" w:rsidRDefault="002C18A7" w:rsidP="000C768D">
      <w:pPr>
        <w:jc w:val="center"/>
        <w:rPr>
          <w:b/>
        </w:rPr>
      </w:pPr>
      <w:r w:rsidRPr="000C768D">
        <w:rPr>
          <w:b/>
        </w:rPr>
        <w:t>Réunion du  9 juillet 2018 mise en place du marché sécurité incendie</w:t>
      </w:r>
    </w:p>
    <w:p w:rsidR="00D132FF" w:rsidRPr="000C768D" w:rsidRDefault="00D132FF" w:rsidP="000C768D">
      <w:pPr>
        <w:jc w:val="center"/>
        <w:rPr>
          <w:b/>
        </w:rPr>
      </w:pPr>
    </w:p>
    <w:tbl>
      <w:tblPr>
        <w:tblStyle w:val="Grilledutableau"/>
        <w:tblW w:w="10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606"/>
      </w:tblGrid>
      <w:tr w:rsidR="00C40C9E" w:rsidTr="003422DF">
        <w:tc>
          <w:tcPr>
            <w:tcW w:w="5920" w:type="dxa"/>
          </w:tcPr>
          <w:p w:rsidR="00C40C9E" w:rsidRDefault="00C40C9E" w:rsidP="00C40C9E">
            <w:r>
              <w:t>Directrice Générale des Service : Christine Lenoan</w:t>
            </w:r>
          </w:p>
          <w:p w:rsidR="00C40C9E" w:rsidRDefault="00C40C9E" w:rsidP="00C40C9E">
            <w:r>
              <w:t xml:space="preserve">DSSI : JL Reynaud, JL </w:t>
            </w:r>
            <w:proofErr w:type="spellStart"/>
            <w:r>
              <w:t>Puichaud-Chaudot</w:t>
            </w:r>
            <w:proofErr w:type="spellEnd"/>
            <w:r>
              <w:t xml:space="preserve">, Didier </w:t>
            </w:r>
            <w:proofErr w:type="spellStart"/>
            <w:r>
              <w:t>Chatignon</w:t>
            </w:r>
            <w:proofErr w:type="spellEnd"/>
          </w:p>
          <w:p w:rsidR="00C40C9E" w:rsidRDefault="00C40C9E" w:rsidP="00C40C9E">
            <w:r>
              <w:t xml:space="preserve">DLHS : Jordan </w:t>
            </w:r>
            <w:proofErr w:type="spellStart"/>
            <w:r>
              <w:t>Perichet</w:t>
            </w:r>
            <w:proofErr w:type="spellEnd"/>
            <w:r>
              <w:t>, Haoua Zeroual</w:t>
            </w:r>
          </w:p>
          <w:p w:rsidR="00C40C9E" w:rsidRDefault="00C40C9E" w:rsidP="00C40C9E">
            <w:r>
              <w:t xml:space="preserve">SAM_DFC : Cécile </w:t>
            </w:r>
            <w:proofErr w:type="spellStart"/>
            <w:r>
              <w:t>Santoro</w:t>
            </w:r>
            <w:proofErr w:type="spellEnd"/>
          </w:p>
          <w:p w:rsidR="00C40C9E" w:rsidRDefault="00C40C9E"/>
        </w:tc>
        <w:tc>
          <w:tcPr>
            <w:tcW w:w="4606" w:type="dxa"/>
          </w:tcPr>
          <w:p w:rsidR="00C40C9E" w:rsidRPr="00D53FB9" w:rsidRDefault="00C40C9E" w:rsidP="000C768D">
            <w:pPr>
              <w:pBdr>
                <w:left w:val="single" w:sz="4" w:space="4" w:color="auto"/>
              </w:pBdr>
              <w:rPr>
                <w:lang w:val="en-US"/>
              </w:rPr>
            </w:pPr>
            <w:r w:rsidRPr="00D53FB9">
              <w:rPr>
                <w:lang w:val="en-US"/>
              </w:rPr>
              <w:t xml:space="preserve">Lot 1 : ATEIS :  </w:t>
            </w:r>
          </w:p>
          <w:p w:rsidR="00C40C9E" w:rsidRPr="00D53FB9" w:rsidRDefault="00C40C9E" w:rsidP="000C768D">
            <w:pPr>
              <w:pBdr>
                <w:left w:val="single" w:sz="4" w:space="4" w:color="auto"/>
              </w:pBdr>
              <w:rPr>
                <w:lang w:val="en-US"/>
              </w:rPr>
            </w:pPr>
            <w:r w:rsidRPr="00D53FB9">
              <w:rPr>
                <w:lang w:val="en-US"/>
              </w:rPr>
              <w:t xml:space="preserve">Lot 2 : FABECREA :  </w:t>
            </w:r>
          </w:p>
          <w:p w:rsidR="00C40C9E" w:rsidRPr="00D53FB9" w:rsidRDefault="00C40C9E" w:rsidP="000C768D">
            <w:pPr>
              <w:pBdr>
                <w:left w:val="single" w:sz="4" w:space="4" w:color="auto"/>
              </w:pBdr>
              <w:rPr>
                <w:lang w:val="en-US"/>
              </w:rPr>
            </w:pPr>
            <w:r w:rsidRPr="00D53FB9">
              <w:rPr>
                <w:lang w:val="en-US"/>
              </w:rPr>
              <w:t>Lot 3 : PROTECT</w:t>
            </w:r>
          </w:p>
          <w:p w:rsidR="00C40C9E" w:rsidRDefault="00C40C9E" w:rsidP="000C768D">
            <w:pPr>
              <w:pBdr>
                <w:left w:val="single" w:sz="4" w:space="4" w:color="auto"/>
              </w:pBdr>
            </w:pPr>
            <w:r>
              <w:t>Lot 4 : FAUCHE</w:t>
            </w:r>
          </w:p>
          <w:p w:rsidR="00C40C9E" w:rsidRDefault="00C40C9E"/>
        </w:tc>
      </w:tr>
    </w:tbl>
    <w:p w:rsidR="000C768D" w:rsidRPr="000C768D" w:rsidRDefault="000C768D" w:rsidP="000C768D">
      <w:pPr>
        <w:jc w:val="center"/>
        <w:rPr>
          <w:b/>
          <w:color w:val="002060"/>
        </w:rPr>
      </w:pPr>
      <w:r w:rsidRPr="000C768D">
        <w:rPr>
          <w:b/>
          <w:color w:val="002060"/>
        </w:rPr>
        <w:t>CADRAGE FINANCIER</w:t>
      </w:r>
    </w:p>
    <w:p w:rsidR="00D53FB9" w:rsidRPr="000C768D" w:rsidRDefault="00D53FB9">
      <w:pPr>
        <w:rPr>
          <w:b/>
          <w:color w:val="FF0000"/>
        </w:rPr>
      </w:pPr>
      <w:r w:rsidRPr="000C768D">
        <w:rPr>
          <w:b/>
          <w:color w:val="FF0000"/>
        </w:rPr>
        <w:t>VOLET FORFAITAIRE</w:t>
      </w:r>
    </w:p>
    <w:p w:rsidR="00D53FB9" w:rsidRPr="00D53FB9" w:rsidRDefault="00F942F7" w:rsidP="00D53FB9">
      <w:pPr>
        <w:rPr>
          <w:b/>
          <w:u w:val="single"/>
        </w:rPr>
      </w:pPr>
      <w:r>
        <w:rPr>
          <w:b/>
          <w:u w:val="single"/>
        </w:rPr>
        <w:t>Circuit de la commande et paie</w:t>
      </w:r>
      <w:r w:rsidR="00D53FB9" w:rsidRPr="00D53FB9">
        <w:rPr>
          <w:b/>
          <w:u w:val="single"/>
        </w:rPr>
        <w:t>ment</w:t>
      </w:r>
    </w:p>
    <w:p w:rsidR="00C40C9E" w:rsidRPr="000C768D" w:rsidRDefault="00C40C9E" w:rsidP="00D53FB9">
      <w:pPr>
        <w:rPr>
          <w:b/>
          <w:u w:val="single"/>
        </w:rPr>
      </w:pPr>
      <w:r w:rsidRPr="000C768D">
        <w:rPr>
          <w:b/>
          <w:u w:val="single"/>
        </w:rPr>
        <w:t>ATEIS :</w:t>
      </w:r>
    </w:p>
    <w:p w:rsidR="00D53FB9" w:rsidRPr="00D53FB9" w:rsidRDefault="00D53FB9" w:rsidP="00D53FB9">
      <w:r>
        <w:t>2 engagements aux dates communiquées par le prestataire (transmettre le calendrier des visites)</w:t>
      </w:r>
    </w:p>
    <w:p w:rsidR="00D53FB9" w:rsidRDefault="00D53FB9" w:rsidP="00D53FB9">
      <w:r>
        <w:t xml:space="preserve">2 Visites par </w:t>
      </w:r>
      <w:r w:rsidR="00C40C9E">
        <w:t>an, donc 2 Facturations</w:t>
      </w:r>
    </w:p>
    <w:p w:rsidR="00C40C9E" w:rsidRDefault="00C40C9E" w:rsidP="00D53FB9"/>
    <w:p w:rsidR="00C40C9E" w:rsidRPr="000C768D" w:rsidRDefault="00C40C9E" w:rsidP="00D53FB9">
      <w:pPr>
        <w:rPr>
          <w:b/>
          <w:u w:val="single"/>
        </w:rPr>
      </w:pPr>
      <w:r w:rsidRPr="000C768D">
        <w:rPr>
          <w:b/>
          <w:u w:val="single"/>
        </w:rPr>
        <w:t>Pour les autres prestataires 1 visite par an</w:t>
      </w:r>
    </w:p>
    <w:p w:rsidR="00D53FB9" w:rsidRDefault="00D53FB9">
      <w:r>
        <w:t>1 Facture par visite (Proratiser l’enveloppe forfaitaire)</w:t>
      </w:r>
    </w:p>
    <w:p w:rsidR="00D53FB9" w:rsidRDefault="00D53FB9">
      <w:r>
        <w:t>Paiement de la facture à réception du rapport annuel  par visite</w:t>
      </w:r>
    </w:p>
    <w:p w:rsidR="00D53FB9" w:rsidRDefault="00D53FB9">
      <w:r>
        <w:t>Première intervention comprise dans le forfait : 15 jours après la notification du marché : Etat des lieux/Audit</w:t>
      </w:r>
    </w:p>
    <w:p w:rsidR="00D53FB9" w:rsidRDefault="00D53FB9"/>
    <w:p w:rsidR="00D53FB9" w:rsidRPr="00D53FB9" w:rsidRDefault="00D53FB9">
      <w:pPr>
        <w:rPr>
          <w:b/>
          <w:u w:val="single"/>
        </w:rPr>
      </w:pPr>
      <w:r w:rsidRPr="00D53FB9">
        <w:rPr>
          <w:b/>
          <w:u w:val="single"/>
        </w:rPr>
        <w:t xml:space="preserve">Contrôle de la prestation sur le terrain : </w:t>
      </w:r>
    </w:p>
    <w:p w:rsidR="00D53FB9" w:rsidRDefault="00D53FB9">
      <w:r>
        <w:t>1 agent de la société extérieure sur le terrain et 1 agent de la DSSI</w:t>
      </w:r>
    </w:p>
    <w:p w:rsidR="00D53FB9" w:rsidRDefault="00D53FB9">
      <w:r>
        <w:t>Attestation de la prestation par DSSI, transmission DLHS</w:t>
      </w:r>
    </w:p>
    <w:p w:rsidR="00D53FB9" w:rsidRDefault="00D53FB9"/>
    <w:p w:rsidR="00D53FB9" w:rsidRPr="000C768D" w:rsidRDefault="00D53FB9" w:rsidP="00D53FB9">
      <w:pPr>
        <w:rPr>
          <w:b/>
          <w:color w:val="FF0000"/>
        </w:rPr>
      </w:pPr>
      <w:r w:rsidRPr="000C768D">
        <w:rPr>
          <w:b/>
          <w:color w:val="FF0000"/>
        </w:rPr>
        <w:t>VOLET URGENCE</w:t>
      </w:r>
    </w:p>
    <w:p w:rsidR="00D53FB9" w:rsidRDefault="00D53FB9">
      <w:r>
        <w:t>DSSI contact le prestataire, ou le prestataire constate l’urgence. Ce dernier intervient pour gérer l’urgence, puis régularise dans l’heure par un écrit, et transmission d’un devis de régularisation.</w:t>
      </w:r>
    </w:p>
    <w:p w:rsidR="00D53FB9" w:rsidRDefault="00D53FB9"/>
    <w:p w:rsidR="00D53FB9" w:rsidRPr="000C768D" w:rsidRDefault="00D53FB9" w:rsidP="00D53FB9">
      <w:pPr>
        <w:rPr>
          <w:b/>
          <w:color w:val="FF0000"/>
        </w:rPr>
      </w:pPr>
      <w:r w:rsidRPr="000C768D">
        <w:rPr>
          <w:b/>
          <w:color w:val="FF0000"/>
        </w:rPr>
        <w:t xml:space="preserve">VOLET </w:t>
      </w:r>
      <w:r w:rsidR="00F942F7" w:rsidRPr="000C768D">
        <w:rPr>
          <w:b/>
          <w:color w:val="FF0000"/>
        </w:rPr>
        <w:t>CURATIF</w:t>
      </w:r>
    </w:p>
    <w:p w:rsidR="00D53FB9" w:rsidRDefault="00F942F7" w:rsidP="000C768D">
      <w:pPr>
        <w:jc w:val="both"/>
      </w:pPr>
      <w:r>
        <w:t>DSSI transmet un courriel au prestataire et mets dans la boucle le pôle financier de la DLHS, copie la DGSA Performance.</w:t>
      </w:r>
    </w:p>
    <w:p w:rsidR="00D53FB9" w:rsidRDefault="009B7D9F" w:rsidP="000C768D">
      <w:pPr>
        <w:jc w:val="both"/>
      </w:pPr>
      <w:r>
        <w:t>Le prestataire transmet un devis à DSSI, DLHS</w:t>
      </w:r>
    </w:p>
    <w:p w:rsidR="00F942F7" w:rsidRDefault="009B7D9F" w:rsidP="000C768D">
      <w:pPr>
        <w:jc w:val="both"/>
      </w:pPr>
      <w:r>
        <w:t xml:space="preserve">M </w:t>
      </w:r>
      <w:proofErr w:type="spellStart"/>
      <w:r>
        <w:t>Puichot-chaudot</w:t>
      </w:r>
      <w:proofErr w:type="spellEnd"/>
      <w:r>
        <w:t xml:space="preserve"> réceptionne et constate la réalisation de la prestation. Il transmet les documents justificatifs permettant de valider le paiement, DLHS procède à la validation informatique.</w:t>
      </w:r>
    </w:p>
    <w:p w:rsidR="00F942F7" w:rsidRDefault="00F942F7"/>
    <w:p w:rsidR="00F942F7" w:rsidRDefault="009B7D9F" w:rsidP="008E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9B7D9F">
        <w:rPr>
          <w:b/>
          <w:color w:val="FF0000"/>
          <w:sz w:val="24"/>
        </w:rPr>
        <w:t>Focus </w:t>
      </w:r>
      <w:r w:rsidRPr="009B7D9F">
        <w:rPr>
          <w:b/>
        </w:rPr>
        <w:t xml:space="preserve">: </w:t>
      </w:r>
      <w:r>
        <w:rPr>
          <w:b/>
        </w:rPr>
        <w:t>P</w:t>
      </w:r>
      <w:r w:rsidRPr="009B7D9F">
        <w:rPr>
          <w:b/>
        </w:rPr>
        <w:t>remière commission de sécurité est prévue fin septembre 2018.</w:t>
      </w:r>
      <w:r>
        <w:rPr>
          <w:b/>
        </w:rPr>
        <w:t xml:space="preserve"> Le prestataire</w:t>
      </w:r>
      <w:r w:rsidR="0026138A">
        <w:rPr>
          <w:b/>
        </w:rPr>
        <w:t xml:space="preserve"> </w:t>
      </w:r>
      <w:proofErr w:type="spellStart"/>
      <w:r w:rsidR="0026138A">
        <w:rPr>
          <w:b/>
        </w:rPr>
        <w:t>Fabrecréa</w:t>
      </w:r>
      <w:proofErr w:type="spellEnd"/>
      <w:r>
        <w:rPr>
          <w:b/>
        </w:rPr>
        <w:t xml:space="preserve"> précise qu’il faut tenir compte des délais d’approvisionnement.</w:t>
      </w:r>
    </w:p>
    <w:p w:rsidR="00C40C9E" w:rsidRDefault="00C40C9E" w:rsidP="008E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>Les prestataires vont nous communiquer le nom d’un interlocuteur unique pour le suivi budgétaire. Une réunion annuelle bilan sera organisée avec les mêmes interlocuteurs que ce jour.</w:t>
      </w:r>
      <w:r w:rsidR="0026138A">
        <w:rPr>
          <w:b/>
        </w:rPr>
        <w:t xml:space="preserve"> Par ailleurs, nous leur avons demandé leur plan de prévention et nous nous sommes engagés à leur fournir un </w:t>
      </w:r>
      <w:r w:rsidR="008E4AB5">
        <w:rPr>
          <w:b/>
        </w:rPr>
        <w:t>modèle</w:t>
      </w:r>
      <w:r w:rsidR="0026138A">
        <w:rPr>
          <w:b/>
        </w:rPr>
        <w:t>.</w:t>
      </w:r>
    </w:p>
    <w:p w:rsidR="0026138A" w:rsidRPr="009B7D9F" w:rsidRDefault="0026138A" w:rsidP="008E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F942F7" w:rsidRDefault="00C40C9E" w:rsidP="000C768D">
      <w:pPr>
        <w:jc w:val="both"/>
      </w:pPr>
      <w:r>
        <w:t xml:space="preserve">DSSI va nous communiquer le </w:t>
      </w:r>
      <w:r w:rsidRPr="008E4AB5">
        <w:rPr>
          <w:color w:val="FF0000"/>
          <w:u w:val="single"/>
        </w:rPr>
        <w:t>calendrier des commissions</w:t>
      </w:r>
      <w:r w:rsidRPr="008E4AB5">
        <w:rPr>
          <w:color w:val="FF0000"/>
        </w:rPr>
        <w:t xml:space="preserve"> de sécurité </w:t>
      </w:r>
      <w:r>
        <w:t>(JL Reynaud)</w:t>
      </w:r>
    </w:p>
    <w:p w:rsidR="00C40C9E" w:rsidRDefault="00C40C9E" w:rsidP="000C768D">
      <w:pPr>
        <w:jc w:val="both"/>
      </w:pPr>
      <w:r>
        <w:t xml:space="preserve">DSSI va nous communiquer le </w:t>
      </w:r>
      <w:r w:rsidRPr="008E4AB5">
        <w:rPr>
          <w:color w:val="FF0000"/>
        </w:rPr>
        <w:t>calendrier</w:t>
      </w:r>
      <w:r>
        <w:t xml:space="preserve"> </w:t>
      </w:r>
      <w:r w:rsidRPr="008E4AB5">
        <w:rPr>
          <w:color w:val="FF0000"/>
        </w:rPr>
        <w:t>de passage des prestataires</w:t>
      </w:r>
      <w:r w:rsidR="008E4AB5">
        <w:rPr>
          <w:color w:val="FF0000"/>
        </w:rPr>
        <w:t xml:space="preserve"> et une estimation des dépenses  (part UPN/Saint cloud et part Ville d’</w:t>
      </w:r>
      <w:proofErr w:type="spellStart"/>
      <w:r w:rsidR="008E4AB5">
        <w:rPr>
          <w:color w:val="FF0000"/>
        </w:rPr>
        <w:t>Avray</w:t>
      </w:r>
      <w:proofErr w:type="spellEnd"/>
      <w:r w:rsidR="008E4AB5">
        <w:rPr>
          <w:color w:val="FF0000"/>
        </w:rPr>
        <w:t>) pour la fin d’exercice</w:t>
      </w:r>
      <w:r w:rsidRPr="008E4AB5">
        <w:rPr>
          <w:color w:val="FF0000"/>
        </w:rPr>
        <w:t xml:space="preserve"> </w:t>
      </w:r>
      <w:r>
        <w:t xml:space="preserve">(JL </w:t>
      </w:r>
      <w:proofErr w:type="spellStart"/>
      <w:r>
        <w:t>Puichot-Chaudot</w:t>
      </w:r>
      <w:proofErr w:type="spellEnd"/>
      <w:r>
        <w:t>)</w:t>
      </w:r>
      <w:r w:rsidR="008E4AB5">
        <w:t>.</w:t>
      </w:r>
    </w:p>
    <w:p w:rsidR="009B7D9F" w:rsidRDefault="00C40C9E" w:rsidP="000C768D">
      <w:pPr>
        <w:jc w:val="both"/>
      </w:pPr>
      <w:r>
        <w:t>DLHS va transmettre un schéma du circuit de la dépense et le calendrier budgétaire. Fin des engagements mi-novembre 2018.  Passée cette période répercussion négative sur le budget 2019.</w:t>
      </w:r>
    </w:p>
    <w:p w:rsidR="00C40C9E" w:rsidRDefault="00C40C9E" w:rsidP="000C768D">
      <w:pPr>
        <w:jc w:val="both"/>
      </w:pPr>
      <w:r>
        <w:t>1 facturation pour UPN, une autre pour l’IUT. Quid de Saint-Cloud et MAE ?</w:t>
      </w:r>
    </w:p>
    <w:p w:rsidR="00925A35" w:rsidRDefault="003422DF" w:rsidP="000C768D">
      <w:pPr>
        <w:jc w:val="both"/>
      </w:pPr>
      <w:r>
        <w:t xml:space="preserve">JL PUICHAUD-CHAUDOT doit chiffrer la part IUT et UPN. </w:t>
      </w:r>
    </w:p>
    <w:p w:rsidR="000A0DD2" w:rsidRDefault="000A0DD2" w:rsidP="000C768D">
      <w:pPr>
        <w:jc w:val="both"/>
        <w:rPr>
          <w:b/>
          <w:color w:val="002060"/>
          <w:u w:val="single"/>
        </w:rPr>
      </w:pPr>
    </w:p>
    <w:p w:rsidR="00925A35" w:rsidRPr="00925A35" w:rsidRDefault="003422DF" w:rsidP="000C768D">
      <w:pPr>
        <w:jc w:val="both"/>
        <w:rPr>
          <w:b/>
          <w:color w:val="002060"/>
          <w:u w:val="single"/>
        </w:rPr>
      </w:pPr>
      <w:r w:rsidRPr="00925A35">
        <w:rPr>
          <w:b/>
          <w:color w:val="002060"/>
          <w:u w:val="single"/>
        </w:rPr>
        <w:t>Question</w:t>
      </w:r>
      <w:r w:rsidR="00925A35" w:rsidRPr="00925A35">
        <w:rPr>
          <w:b/>
          <w:color w:val="002060"/>
          <w:u w:val="single"/>
        </w:rPr>
        <w:t>s :</w:t>
      </w:r>
    </w:p>
    <w:p w:rsidR="00925A35" w:rsidRDefault="00925A35" w:rsidP="000C768D">
      <w:pPr>
        <w:jc w:val="both"/>
      </w:pPr>
      <w:r>
        <w:t xml:space="preserve">Qui paye </w:t>
      </w:r>
      <w:r w:rsidR="003422DF">
        <w:t xml:space="preserve">pour </w:t>
      </w:r>
      <w:proofErr w:type="spellStart"/>
      <w:r w:rsidR="003422DF">
        <w:t>Sa</w:t>
      </w:r>
      <w:r>
        <w:t>nt-C</w:t>
      </w:r>
      <w:r w:rsidR="003422DF">
        <w:t>loud</w:t>
      </w:r>
      <w:proofErr w:type="spellEnd"/>
      <w:r>
        <w:t xml:space="preserve"> ? </w:t>
      </w:r>
    </w:p>
    <w:p w:rsidR="003422DF" w:rsidRDefault="00925A35" w:rsidP="000C768D">
      <w:pPr>
        <w:jc w:val="both"/>
      </w:pPr>
      <w:r>
        <w:t xml:space="preserve">Quel est le mécanisme de dépense : UPN avance-t-elle pour la </w:t>
      </w:r>
      <w:r w:rsidR="003422DF">
        <w:t>MAE</w:t>
      </w:r>
      <w:r>
        <w:t> ?</w:t>
      </w:r>
    </w:p>
    <w:p w:rsidR="000C768D" w:rsidRDefault="000C768D" w:rsidP="003422DF"/>
    <w:p w:rsidR="000C768D" w:rsidRPr="000C768D" w:rsidRDefault="000C768D" w:rsidP="000C768D">
      <w:pPr>
        <w:rPr>
          <w:sz w:val="24"/>
        </w:rPr>
      </w:pPr>
      <w:r w:rsidRPr="000C768D">
        <w:rPr>
          <w:sz w:val="24"/>
        </w:rPr>
        <w:t xml:space="preserve">Lot 1 : ATEIS : </w:t>
      </w:r>
      <w:r w:rsidRPr="000C768D">
        <w:rPr>
          <w:b/>
          <w:color w:val="FF0000"/>
          <w:sz w:val="24"/>
        </w:rPr>
        <w:t>Montant TTC : 81559 EUROS (dont IUT)</w:t>
      </w:r>
    </w:p>
    <w:p w:rsidR="000C768D" w:rsidRPr="000C768D" w:rsidRDefault="000C768D" w:rsidP="000C768D">
      <w:pPr>
        <w:rPr>
          <w:sz w:val="24"/>
        </w:rPr>
      </w:pPr>
      <w:r w:rsidRPr="000C768D">
        <w:rPr>
          <w:sz w:val="24"/>
        </w:rPr>
        <w:t xml:space="preserve">Lot 2 : FABECREA : </w:t>
      </w:r>
      <w:r w:rsidRPr="000C768D">
        <w:rPr>
          <w:b/>
          <w:color w:val="FF0000"/>
          <w:sz w:val="24"/>
        </w:rPr>
        <w:t>Montant TTC : 11988 EUROS (dont IUT)</w:t>
      </w:r>
    </w:p>
    <w:p w:rsidR="000C768D" w:rsidRPr="000C768D" w:rsidRDefault="000C768D" w:rsidP="000C768D">
      <w:pPr>
        <w:rPr>
          <w:sz w:val="24"/>
        </w:rPr>
      </w:pPr>
      <w:r w:rsidRPr="000C768D">
        <w:rPr>
          <w:sz w:val="24"/>
        </w:rPr>
        <w:t xml:space="preserve">Lot 3 : PROTECT : </w:t>
      </w:r>
      <w:r w:rsidRPr="000C768D">
        <w:rPr>
          <w:b/>
          <w:color w:val="FF0000"/>
          <w:sz w:val="24"/>
        </w:rPr>
        <w:t>Montant TTC : 6300 EUROS (dont IUT)</w:t>
      </w:r>
    </w:p>
    <w:p w:rsidR="009B7D9F" w:rsidRDefault="000C768D">
      <w:r w:rsidRPr="000C768D">
        <w:rPr>
          <w:sz w:val="24"/>
        </w:rPr>
        <w:t xml:space="preserve">Lot 4: FAUCHE : </w:t>
      </w:r>
      <w:r w:rsidRPr="000C768D">
        <w:rPr>
          <w:b/>
          <w:color w:val="FF0000"/>
          <w:sz w:val="24"/>
        </w:rPr>
        <w:t>Montant TTC : 21648 EUROS / BARRE DES LETTRE – G –F-BDIC  (PAS IUT)</w:t>
      </w:r>
    </w:p>
    <w:sectPr w:rsidR="009B7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A7"/>
    <w:rsid w:val="000A0DD2"/>
    <w:rsid w:val="000C768D"/>
    <w:rsid w:val="0015114C"/>
    <w:rsid w:val="00226B2E"/>
    <w:rsid w:val="0026138A"/>
    <w:rsid w:val="002C18A7"/>
    <w:rsid w:val="00315B29"/>
    <w:rsid w:val="003422DF"/>
    <w:rsid w:val="007C21BD"/>
    <w:rsid w:val="008E4AB5"/>
    <w:rsid w:val="00925A35"/>
    <w:rsid w:val="009B7D9F"/>
    <w:rsid w:val="00BD13C2"/>
    <w:rsid w:val="00C40C9E"/>
    <w:rsid w:val="00D132FF"/>
    <w:rsid w:val="00D53FB9"/>
    <w:rsid w:val="00F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B6275-0ED3-4320-9062-AD1AAB05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3C2"/>
    <w:rPr>
      <w:lang w:eastAsia="fr-FR"/>
    </w:rPr>
  </w:style>
  <w:style w:type="paragraph" w:styleId="Titre1">
    <w:name w:val="heading 1"/>
    <w:basedOn w:val="Normal"/>
    <w:next w:val="Normal"/>
    <w:link w:val="Titre1Car"/>
    <w:qFormat/>
    <w:rsid w:val="00BD13C2"/>
    <w:pPr>
      <w:keepNext/>
      <w:jc w:val="right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BD13C2"/>
    <w:pPr>
      <w:keepNext/>
      <w:jc w:val="center"/>
      <w:outlineLvl w:val="1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D13C2"/>
    <w:rPr>
      <w:b/>
      <w:lang w:eastAsia="fr-FR"/>
    </w:rPr>
  </w:style>
  <w:style w:type="character" w:customStyle="1" w:styleId="Titre2Car">
    <w:name w:val="Titre 2 Car"/>
    <w:basedOn w:val="Policepardfaut"/>
    <w:link w:val="Titre2"/>
    <w:rsid w:val="00BD13C2"/>
    <w:rPr>
      <w:b/>
      <w:sz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18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18A7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C40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Zeroual Haoua</dc:creator>
  <cp:lastModifiedBy>Zeroual Haoua</cp:lastModifiedBy>
  <cp:revision>2</cp:revision>
  <dcterms:created xsi:type="dcterms:W3CDTF">2019-05-25T14:03:00Z</dcterms:created>
  <dcterms:modified xsi:type="dcterms:W3CDTF">2019-05-25T14:03:00Z</dcterms:modified>
</cp:coreProperties>
</file>